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B4287" w:rsidRPr="00FB4287" w:rsidTr="00FB4287">
        <w:trPr>
          <w:tblCellSpacing w:w="0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FB4287" w:rsidRPr="00FB4287" w:rsidRDefault="00FB4287" w:rsidP="00FB428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FB4287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В некоторых районах Байкала вода не пригодна даже для скота, выяснили ученые</w:t>
            </w:r>
          </w:p>
        </w:tc>
      </w:tr>
      <w:tr w:rsidR="00FB4287" w:rsidRPr="00FB4287" w:rsidTr="00FB4287">
        <w:trPr>
          <w:tblCellSpacing w:w="0" w:type="dxa"/>
        </w:trPr>
        <w:tc>
          <w:tcPr>
            <w:tcW w:w="0" w:type="auto"/>
            <w:shd w:val="clear" w:color="auto" w:fill="E6E6E6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B4287" w:rsidRPr="00FB4287">
              <w:trPr>
                <w:tblCellSpacing w:w="0" w:type="dxa"/>
              </w:trPr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FB4287" w:rsidRPr="00FB4287" w:rsidRDefault="00FB4287" w:rsidP="00FB4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350" cy="37465"/>
                        <wp:effectExtent l="0" t="0" r="0" b="0"/>
                        <wp:docPr id="10" name="Рисунок 10" descr="http://static.newsru.com/img/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tatic.newsru.com/img/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37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B4287" w:rsidRPr="00FB4287" w:rsidRDefault="00FB4287" w:rsidP="00FB428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78"/>
              <w:gridCol w:w="2177"/>
            </w:tblGrid>
            <w:tr w:rsidR="00FB4287" w:rsidRPr="00FB428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B4287" w:rsidRPr="00FB4287" w:rsidRDefault="00FB4287" w:rsidP="00FB4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42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время публикации: 18 ноября 2015 г., 13:13 </w:t>
                  </w:r>
                  <w:r w:rsidRPr="00FB42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последнее обновление: 18 ноября 2015 г., 13:32 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right"/>
                    <w:tblCellSpacing w:w="0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5"/>
                    <w:gridCol w:w="295"/>
                    <w:gridCol w:w="295"/>
                    <w:gridCol w:w="295"/>
                    <w:gridCol w:w="295"/>
                  </w:tblGrid>
                  <w:tr w:rsidR="00FB4287" w:rsidRPr="00FB4287">
                    <w:trPr>
                      <w:tblCellSpacing w:w="0" w:type="dxa"/>
                      <w:jc w:val="right"/>
                    </w:trPr>
                    <w:tc>
                      <w:tcPr>
                        <w:tcW w:w="192" w:type="dxa"/>
                        <w:hideMark/>
                      </w:tcPr>
                      <w:p w:rsidR="00FB4287" w:rsidRPr="00FB4287" w:rsidRDefault="00FB4287" w:rsidP="00FB42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56845" cy="156845"/>
                              <wp:effectExtent l="0" t="0" r="0" b="0"/>
                              <wp:docPr id="9" name="Рисунок 9" descr="блог">
                                <a:hlinkClick xmlns:a="http://schemas.openxmlformats.org/drawingml/2006/main" r:id="rId8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блог">
                                        <a:hlinkClick r:id="rId8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6845" cy="1568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92" w:type="dxa"/>
                        <w:hideMark/>
                      </w:tcPr>
                      <w:p w:rsidR="00FB4287" w:rsidRPr="00FB4287" w:rsidRDefault="00FB4287" w:rsidP="00FB42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56845" cy="156845"/>
                              <wp:effectExtent l="0" t="0" r="0" b="0"/>
                              <wp:docPr id="8" name="Рисунок 8" descr="печать">
                                <a:hlinkClick xmlns:a="http://schemas.openxmlformats.org/drawingml/2006/main" r:id="rId10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печать">
                                        <a:hlinkClick r:id="rId10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6845" cy="1568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92" w:type="dxa"/>
                        <w:hideMark/>
                      </w:tcPr>
                      <w:p w:rsidR="00FB4287" w:rsidRPr="00FB4287" w:rsidRDefault="00FB4287" w:rsidP="00FB42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56845" cy="156845"/>
                              <wp:effectExtent l="0" t="0" r="0" b="0"/>
                              <wp:docPr id="7" name="Рисунок 7" descr="сохранить">
                                <a:hlinkClick xmlns:a="http://schemas.openxmlformats.org/drawingml/2006/main" r:id="rId1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сохранить">
                                        <a:hlinkClick r:id="rId1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6845" cy="1568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92" w:type="dxa"/>
                        <w:hideMark/>
                      </w:tcPr>
                      <w:p w:rsidR="00FB4287" w:rsidRPr="00FB4287" w:rsidRDefault="00FB4287" w:rsidP="00FB42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56845" cy="156845"/>
                              <wp:effectExtent l="0" t="0" r="0" b="0"/>
                              <wp:docPr id="6" name="Рисунок 6" descr="почта">
                                <a:hlinkClick xmlns:a="http://schemas.openxmlformats.org/drawingml/2006/main" r:id="rId1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почта">
                                        <a:hlinkClick r:id="rId1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6845" cy="1568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92" w:type="dxa"/>
                        <w:hideMark/>
                      </w:tcPr>
                      <w:p w:rsidR="00FB4287" w:rsidRPr="00FB4287" w:rsidRDefault="00FB4287" w:rsidP="00FB42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56845" cy="156845"/>
                              <wp:effectExtent l="0" t="0" r="0" b="0"/>
                              <wp:docPr id="5" name="Рисунок 5" descr="фото">
                                <a:hlinkClick xmlns:a="http://schemas.openxmlformats.org/drawingml/2006/main" r:id="rId16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фото">
                                        <a:hlinkClick r:id="rId16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6845" cy="1568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B4287" w:rsidRPr="00FB4287" w:rsidRDefault="00FB4287" w:rsidP="00FB42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tbl>
            <w:tblPr>
              <w:tblpPr w:leftFromText="36" w:rightFromText="36" w:vertAnchor="text" w:tblpXSpec="right" w:tblpYSpec="center"/>
              <w:tblW w:w="20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"/>
              <w:gridCol w:w="2370"/>
            </w:tblGrid>
            <w:tr w:rsidR="00FB4287" w:rsidRPr="00FB4287">
              <w:trPr>
                <w:tblCellSpacing w:w="0" w:type="dxa"/>
              </w:trPr>
              <w:tc>
                <w:tcPr>
                  <w:tcW w:w="120" w:type="dxa"/>
                  <w:vAlign w:val="center"/>
                  <w:hideMark/>
                </w:tcPr>
                <w:p w:rsidR="00FB4287" w:rsidRPr="00FB4287" w:rsidRDefault="00FB4287" w:rsidP="00FB4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3980" cy="6350"/>
                        <wp:effectExtent l="0" t="0" r="0" b="0"/>
                        <wp:docPr id="4" name="Рисунок 4" descr="http://static.newsru.com/img/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static.newsru.com/img/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98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20" w:type="dxa"/>
                  <w:hideMark/>
                </w:tcPr>
                <w:p w:rsidR="00FB4287" w:rsidRPr="00FB4287" w:rsidRDefault="00FB4287" w:rsidP="00FB4287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03045" cy="1127125"/>
                        <wp:effectExtent l="0" t="0" r="1905" b="0"/>
                        <wp:docPr id="3" name="Рисунок 3" descr="Экологический кризис на озере Байкал, похоже, продолжает развиваться. Ученые отмечают, что вода в некоторых районах Байкала не соответствует санэпидемиологическим нормам, и ни люди, ни даже скотина не могут пить воду из озера">
                          <a:hlinkClick xmlns:a="http://schemas.openxmlformats.org/drawingml/2006/main" r:id="rId1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Экологический кризис на озере Байкал, похоже, продолжает развиваться. Ученые отмечают, что вода в некоторых районах Байкала не соответствует санэпидемиологическим нормам, и ни люди, ни даже скотина не могут пить воду из озера">
                                  <a:hlinkClick r:id="rId1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3045" cy="1127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B4287" w:rsidRPr="00FB4287" w:rsidRDefault="00FB4287" w:rsidP="00FB4287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03045" cy="1127125"/>
                        <wp:effectExtent l="0" t="0" r="1905" b="0"/>
                        <wp:docPr id="2" name="Рисунок 2" descr="Среди возможных причин распространения водорослей, помимо сбросов сточных вод с повышенным содержанием фосфора и азота, рассматривается маловодье озера Байкал на фоне общего повышения температур в регионе">
                          <a:hlinkClick xmlns:a="http://schemas.openxmlformats.org/drawingml/2006/main" r:id="rId1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Среди возможных причин распространения водорослей, помимо сбросов сточных вод с повышенным содержанием фосфора и азота, рассматривается маловодье озера Байкал на фоне общего повышения температур в регионе">
                                  <a:hlinkClick r:id="rId1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3045" cy="1127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B4287" w:rsidRPr="00FB4287" w:rsidRDefault="00FB4287" w:rsidP="00FB4287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03045" cy="1127125"/>
                        <wp:effectExtent l="0" t="0" r="1905" b="0"/>
                        <wp:docPr id="1" name="Рисунок 1" descr="Ранее Минприроды России попросило провести комплексное исследование причин эвтрофикации (насыщения биогенными элементами) озера Байкал">
                          <a:hlinkClick xmlns:a="http://schemas.openxmlformats.org/drawingml/2006/main" r:id="rId2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Ранее Минприроды России попросило провести комплексное исследование причин эвтрофикации (насыщения биогенными элементами) озера Байкал">
                                  <a:hlinkClick r:id="rId2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3045" cy="1127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B4287" w:rsidRPr="00FB4287" w:rsidRDefault="00FB4287" w:rsidP="00FB4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Экологический кризис на озере </w:t>
            </w:r>
            <w:hyperlink r:id="rId23" w:history="1">
              <w:r w:rsidRPr="00FB42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Байкал</w:t>
              </w:r>
            </w:hyperlink>
            <w:r w:rsidRPr="00FB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похоже, продолжает развиваться. Ученые отмечают, что вода в некоторых районах Байкала не соответствует </w:t>
            </w:r>
            <w:proofErr w:type="spellStart"/>
            <w:r w:rsidRPr="00FB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санэпидемиологическим</w:t>
            </w:r>
            <w:proofErr w:type="spellEnd"/>
            <w:r w:rsidRPr="00FB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нормам, и ни люди, ни даже скотина не могут пить воду из озера, передает </w:t>
            </w:r>
            <w:hyperlink r:id="rId24" w:tgtFrame="_blank" w:history="1">
              <w:r w:rsidRPr="00FB42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ИА </w:t>
              </w:r>
              <w:proofErr w:type="spellStart"/>
              <w:r w:rsidRPr="00FB42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UlanMedia</w:t>
              </w:r>
              <w:proofErr w:type="spellEnd"/>
            </w:hyperlink>
            <w:r w:rsidRPr="00FB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B4287" w:rsidRPr="00FB4287" w:rsidRDefault="00FB4287" w:rsidP="00FB4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лабораторией гидробиологии и систематики водных организмов Лимнологического института СО РАН Олег Тимошкин рассказал, что в ходе проверок </w:t>
            </w:r>
            <w:proofErr w:type="spellStart"/>
            <w:r w:rsidRPr="00FB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FB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Иркутской области было выявлено, что очистные сооружения в центральной экологической зоне Байкальской природной территории не соответствуют предъявляемым к ним требованиям. </w:t>
            </w:r>
          </w:p>
          <w:p w:rsidR="00FB4287" w:rsidRPr="00FB4287" w:rsidRDefault="00FB4287" w:rsidP="00FB4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Управления </w:t>
            </w:r>
            <w:proofErr w:type="spellStart"/>
            <w:r w:rsidRPr="00FB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Росприроднадзора</w:t>
            </w:r>
            <w:proofErr w:type="spellEnd"/>
            <w:r w:rsidRPr="00FB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Иркутской области Оксана </w:t>
            </w:r>
            <w:proofErr w:type="spellStart"/>
            <w:r w:rsidRPr="00FB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Курек</w:t>
            </w:r>
            <w:proofErr w:type="spellEnd"/>
            <w:r w:rsidRPr="00FB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поведала, что сейчас на Байкал идет колоссальная нагрузка. "Замечания по работе очистных сооружений имеются. Могу это официально заявить как представитель государственного экологического надзора", - сказала она. </w:t>
            </w:r>
          </w:p>
          <w:p w:rsidR="00FB4287" w:rsidRPr="00FB4287" w:rsidRDefault="00FB4287" w:rsidP="00FB4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Тимошин отмечает ужасное состояние очистных сооружений на Байкале: "Чистый Байкал - между мысом Елохиным и Большими </w:t>
            </w:r>
            <w:proofErr w:type="spellStart"/>
            <w:r w:rsidRPr="00FB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Ольхонскими</w:t>
            </w:r>
            <w:proofErr w:type="spellEnd"/>
            <w:r w:rsidRPr="00FB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воротами. Нетронутая зона, где можно безопасно пить воду. В остальных местах могут быть большие проблемы. В районе </w:t>
            </w:r>
            <w:proofErr w:type="gramStart"/>
            <w:r w:rsidRPr="00FB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Большого</w:t>
            </w:r>
            <w:proofErr w:type="gramEnd"/>
            <w:r w:rsidRPr="00FB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Голоустного</w:t>
            </w:r>
            <w:proofErr w:type="spellEnd"/>
            <w:r w:rsidRPr="00FB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озеро зарастает водорослями. Спирогира - индикатор фекального загрязнения. Кроме того, там превышены все </w:t>
            </w:r>
            <w:proofErr w:type="spellStart"/>
            <w:r w:rsidRPr="00FB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санэпидемиологические</w:t>
            </w:r>
            <w:proofErr w:type="spellEnd"/>
            <w:r w:rsidRPr="00FB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нормы". </w:t>
            </w:r>
          </w:p>
          <w:p w:rsidR="00FB4287" w:rsidRPr="00FB4287" w:rsidRDefault="00FB4287" w:rsidP="00FB4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Среди возможных причин распространения водорослей, помимо </w:t>
            </w:r>
            <w:hyperlink r:id="rId25" w:history="1">
              <w:r w:rsidRPr="00FB42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сбросов сточных вод</w:t>
              </w:r>
            </w:hyperlink>
            <w:r w:rsidRPr="00FB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повышенным содержанием фосфора и азота, рассматривается маловодье озера Байкал на фоне общего повышения температур в регионе. Впрочем, единого научного обоснования процесса нет. </w:t>
            </w:r>
          </w:p>
          <w:p w:rsidR="00FB4287" w:rsidRPr="00FB4287" w:rsidRDefault="00FB4287" w:rsidP="00FB4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воды в Байкале 3 ноября этого года был на 20 сантиметров ниже минимально допустимой нормы, установленной в 2001 году после многолетних исследований. По мнению специалистов, наблюдаемая на озере ситуация может быть охарактеризована как "экологический кризис" и действующая система мониторинга состояния вод озера нуждается в немедленной и серьезной корректировке. </w:t>
            </w:r>
          </w:p>
          <w:p w:rsidR="00FB4287" w:rsidRPr="00FB4287" w:rsidRDefault="00FB4287" w:rsidP="00FB4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Ранее Минприроды России </w:t>
            </w:r>
            <w:hyperlink r:id="rId26" w:history="1">
              <w:r w:rsidRPr="00FB42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попросило</w:t>
              </w:r>
            </w:hyperlink>
            <w:r w:rsidRPr="00FB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провести комплексное исследование причин </w:t>
            </w:r>
            <w:proofErr w:type="spellStart"/>
            <w:r w:rsidRPr="00FB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эвтрофикации</w:t>
            </w:r>
            <w:proofErr w:type="spellEnd"/>
            <w:r w:rsidRPr="00FB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(насыщения биогенными элементами) озера Байкал. Соответствующие письма были направлены Министру образования и науки РФ Дмитрию Ливанову и руководителю Федерального агентства научных организаций (ФАНО) Михаилу </w:t>
            </w:r>
            <w:proofErr w:type="spellStart"/>
            <w:r w:rsidRPr="00FB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Котюкову</w:t>
            </w:r>
            <w:proofErr w:type="spellEnd"/>
            <w:r w:rsidRPr="00FB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864996" w:rsidRPr="00FB4287" w:rsidRDefault="00FB4287">
      <w:r>
        <w:rPr>
          <w:lang w:val="en-US"/>
        </w:rPr>
        <w:t xml:space="preserve">NEWSRU.COM </w:t>
      </w:r>
      <w:r>
        <w:t>18 ноября 2015 г.</w:t>
      </w:r>
      <w:bookmarkStart w:id="0" w:name="_GoBack"/>
      <w:bookmarkEnd w:id="0"/>
    </w:p>
    <w:sectPr w:rsidR="00864996" w:rsidRPr="00FB4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7B8" w:rsidRDefault="003E67B8" w:rsidP="00FB4287">
      <w:pPr>
        <w:spacing w:after="0" w:line="240" w:lineRule="auto"/>
      </w:pPr>
      <w:r>
        <w:separator/>
      </w:r>
    </w:p>
  </w:endnote>
  <w:endnote w:type="continuationSeparator" w:id="0">
    <w:p w:rsidR="003E67B8" w:rsidRDefault="003E67B8" w:rsidP="00FB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7B8" w:rsidRDefault="003E67B8" w:rsidP="00FB4287">
      <w:pPr>
        <w:spacing w:after="0" w:line="240" w:lineRule="auto"/>
      </w:pPr>
      <w:r>
        <w:separator/>
      </w:r>
    </w:p>
  </w:footnote>
  <w:footnote w:type="continuationSeparator" w:id="0">
    <w:p w:rsidR="003E67B8" w:rsidRDefault="003E67B8" w:rsidP="00FB42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87"/>
    <w:rsid w:val="003E67B8"/>
    <w:rsid w:val="004C10AA"/>
    <w:rsid w:val="00864996"/>
    <w:rsid w:val="00FB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42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2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plaindate">
    <w:name w:val="explaindate"/>
    <w:basedOn w:val="a0"/>
    <w:rsid w:val="00FB4287"/>
  </w:style>
  <w:style w:type="character" w:styleId="a3">
    <w:name w:val="Hyperlink"/>
    <w:basedOn w:val="a0"/>
    <w:uiPriority w:val="99"/>
    <w:semiHidden/>
    <w:unhideWhenUsed/>
    <w:rsid w:val="00FB428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B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4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28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B4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4287"/>
  </w:style>
  <w:style w:type="paragraph" w:styleId="a9">
    <w:name w:val="footer"/>
    <w:basedOn w:val="a"/>
    <w:link w:val="aa"/>
    <w:uiPriority w:val="99"/>
    <w:unhideWhenUsed/>
    <w:rsid w:val="00FB4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42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42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2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plaindate">
    <w:name w:val="explaindate"/>
    <w:basedOn w:val="a0"/>
    <w:rsid w:val="00FB4287"/>
  </w:style>
  <w:style w:type="character" w:styleId="a3">
    <w:name w:val="Hyperlink"/>
    <w:basedOn w:val="a0"/>
    <w:uiPriority w:val="99"/>
    <w:semiHidden/>
    <w:unhideWhenUsed/>
    <w:rsid w:val="00FB428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B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4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28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B4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4287"/>
  </w:style>
  <w:style w:type="paragraph" w:styleId="a9">
    <w:name w:val="footer"/>
    <w:basedOn w:val="a"/>
    <w:link w:val="aa"/>
    <w:uiPriority w:val="99"/>
    <w:unhideWhenUsed/>
    <w:rsid w:val="00FB4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4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606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46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19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ru.com/russia/18nov2015/baykal_blog.html" TargetMode="External"/><Relationship Id="rId13" Type="http://schemas.openxmlformats.org/officeDocument/2006/relationships/image" Target="media/image4.gif"/><Relationship Id="rId18" Type="http://schemas.openxmlformats.org/officeDocument/2006/relationships/image" Target="media/image7.jpeg"/><Relationship Id="rId26" Type="http://schemas.openxmlformats.org/officeDocument/2006/relationships/hyperlink" Target="http://newsru.com/russia/03nov2015/vodorosli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ru.com/pict/big/1820087.html" TargetMode="External"/><Relationship Id="rId7" Type="http://schemas.openxmlformats.org/officeDocument/2006/relationships/image" Target="media/image1.gif"/><Relationship Id="rId12" Type="http://schemas.openxmlformats.org/officeDocument/2006/relationships/hyperlink" Target="http://newsru.com/russia/18nov2015/baykal_save.html" TargetMode="External"/><Relationship Id="rId17" Type="http://schemas.openxmlformats.org/officeDocument/2006/relationships/image" Target="media/image6.gif"/><Relationship Id="rId25" Type="http://schemas.openxmlformats.org/officeDocument/2006/relationships/hyperlink" Target="http://newsru.com/russia/09oct2015/baykal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ewsru.com/pict/big/1820077.html" TargetMode="External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24" Type="http://schemas.openxmlformats.org/officeDocument/2006/relationships/hyperlink" Target="http://ulanmedia.ru/news/society/18.11.2015/473722/ni-skot-ni-lyudi-ne-mogut-pit-vodu-v-baykale-uchenie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gif"/><Relationship Id="rId23" Type="http://schemas.openxmlformats.org/officeDocument/2006/relationships/hyperlink" Target="http://newsru.com/russia/08sep2014/baikal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newsru.com/russia/18nov2015/baykal_print.html" TargetMode="External"/><Relationship Id="rId19" Type="http://schemas.openxmlformats.org/officeDocument/2006/relationships/hyperlink" Target="http://newsru.com/pict/big/1820082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newsru.com/russia/18nov2015/baykal.html" TargetMode="External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2015-11-25T12:29:00Z</dcterms:created>
  <dcterms:modified xsi:type="dcterms:W3CDTF">2015-11-25T12:29:00Z</dcterms:modified>
</cp:coreProperties>
</file>